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222/04 vom 30. Dezember 2004</w:t>
      </w:r>
    </w:p>
    <w:p>
      <w:r>
        <w:t>Bundesstrafgericht, 2004-12-30, FR</w:t>
      </w:r>
    </w:p>
    <w:p>
      <w:r>
        <w:rPr>
          <w:b/>
        </w:rPr>
        <w:t xml:space="preserve">Quelle: </w:t>
      </w:r>
      <w:r>
        <w:t>https://mcp.opencaselaw.ch/entscheid/bstger_BK_H 222_04</w:t>
      </w:r>
    </w:p>
    <w:p>
      <w:r>
        <w:t>FR: TPF BK_H 222/04 du 30 décembre 2004</w:t>
      </w:r>
    </w:p>
    <w:p>
      <w:r>
        <w:t>IT: TPF BK_H 222/04 del 30 dicembre 2004</w:t>
      </w:r>
    </w:p>
    <w:p>
      <w:pPr>
        <w:pStyle w:val="Heading2"/>
      </w:pPr>
      <w:r>
        <w:t>Regeste</w:t>
      </w:r>
    </w:p>
    <w:p>
      <w:r>
        <w:t>Refus d'une requête de mise en liberté (art. 52 al. 2 PPF)</w:t>
      </w:r>
    </w:p>
    <w:p>
      <w:pPr>
        <w:pStyle w:val="Heading2"/>
      </w:pPr>
      <w:r>
        <w:t>Erwägungen</w:t>
      </w:r>
    </w:p>
    <w:p>
      <w:r>
        <w:rPr>
          <w:b/>
        </w:rPr>
        <w:t>E. 1</w:t>
      </w:r>
    </w:p>
    <w:p>
      <w:r>
        <w:t>A l’image de la Chambre d’accusation du Tribunal fédéral, aujourd’hui dis- soute, la Cour des plaintes examine d’office la recevabilité des plaintes et recours qui lui sont adressés (ATF 122 IV 188, consid. 1 p. 190 et arrêts ci- tés). Datée du 6 décembre 2004, l’ordonnance contestée a été expédiée le même jour au défenseur du recourant qui l'a reçue le 7. Posté le 9 décem- bre 2004, le recours, formé à la même date, a été déposé dans le délai lé- gal de cinq jours (art. 217 PPF).</w:t>
      </w:r>
    </w:p>
    <w:p>
      <w:r>
        <w:rPr>
          <w:b/>
        </w:rPr>
        <w:t>E. 2</w:t>
      </w:r>
    </w:p>
    <w:p>
      <w:r>
        <w:t>Le recourant estime que les présomptions de culpabilité ne sont pas suffi- santes pour justifier son maintien en détention après seize mois d’enquête et onze de détention préventive, sans préjuger de la suite de la procédure.</w:t>
      </w:r>
    </w:p>
    <w:p>
      <w:r>
        <w:rPr>
          <w:b/>
        </w:rPr>
        <w:t>E. 2.1</w:t>
      </w:r>
    </w:p>
    <w:p>
      <w:r>
        <w:t>Selon l’art. 44 PPF, la détention préventive présuppose l’existence de gra- ves présomptions de culpabilité. Il faut en outre que la fuite de l’inculpé soit présumée imminente – tel est le cas notamment lorsque l’inculpé est pré- venu d’une infraction passible de la réclusion (ch. 1) - ou que des circons-</w:t>
      </w:r>
    </w:p>
    <w:p>
      <w:r>
        <w:t>- 4 -</w:t>
      </w:r>
    </w:p>
    <w:p>
      <w:r>
        <w:t>tances déterminées fassent présumer qu’il veut détruire les traces de l’infraction ou induire des témoins ou coïnculpés à faire de fausses déclara- tions ou compromettre de quelque autre façon le résultat de l’instruction (ch. 2). La détention préventive doit ainsi répondre aux exigences de légali- té, d’intérêt public et de proportionnalité qui découlent de la liberté person- nelle (art. 10 al. 2, 31 al. 1 et 36 Cst) et de l’art. 5 CEDH (arrêts du Tribunal fédéral 1S.3/2004 et 1S.4/2004 du 13 août 2004 consid. 3.1). 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 blable après l’accomplissement de tous les actes d’instruction envisagea- bles (ATF 116 Ia 143, consid. 3c p. 146; arrêts du Tribunal fédéral 1S.3/2004 et 1S.4/2004 du 13 août 2004, consid. 3.1).</w:t>
      </w:r>
    </w:p>
    <w:p>
      <w:r>
        <w:rPr>
          <w:b/>
        </w:rPr>
        <w:t>E. 2.2</w:t>
      </w:r>
    </w:p>
    <w:p>
      <w:r>
        <w:t>La procédure s’inscrit en l’occurrence dans le cadre d’une enquête portant sur des actes extrêmement graves. Les attentats terroristes de Riyad du 12 mai 2003, attribués à la mouvance islamiste radicale proche de Al Qai- da, ont fait une trentaine de morts dont un Suisse et plus de 190 blessés graves. Un téléphone portable présumé appartenir à un des auteurs et re- trouvé dans des circonstances non élucidées portait en mémoire 36 numé- ros de téléphone dont ceux du recourant et de C.______. Les écoutes télé- phoniques et les contrôles rétroactifs ordonnés après réception de ces in- formations ont révélé que tous deux ont eu à l’époque des attentats des contacts intenses avec B.______, que ce soit par téléphone (3 pour l’inculpé) ou par SMS (48 pour A.______, 4 pour C.______), et ce durant la période du 28 avril 2003 au 24 mai 2003 (classeur 5 rubrique 5 4/4 rapport d’analyse de la PJF du 22.04.2004). Le recourant a par la suite admis avoir appelé B.______, peu de temps avant les attentats de Riyad, à partir d’une cabine téléphonique publique à X.______, craignant que ses échanges té- léphoniques (et ses messages) ne fassent l’objet d’une surveillance; lors de cette conversation et selon les aveux mêmes du recourant, il aurait propo- sé à son interlocuteur de lui fournir une aide financière et ce dernier lui au- rait expressément demandé de rallier une organisation terroriste islamiste (BK act. 1.14, audience du prévenu du 23.11.2004, p. 2-4 et 6-7). Dans ce contexte, les explications fournies par le prévenu quant au contenu de ces communications, à savoir qu’il s’agissait de simples échanges de poésies sentimentales, ne sont - comme le soulignent à juste titre les enquêteurs - ni convaincantes ni crédibles. Le recourant a par ailleurs reconnu avoir mis B.______ et C.______ en contact téléphonique, ce dernier ayant accepté de concrètement rechercher un faux passeport en faveur de B.______ pour lui permettre de quitter le Qatar, pays dans lequel il s’était réfugié après</w:t>
      </w:r>
    </w:p>
    <w:p>
      <w:r>
        <w:t>- 5 -</w:t>
      </w:r>
    </w:p>
    <w:p>
      <w:r>
        <w:t>avoir fui Riyad (BK act. 1.14, p. 6, 17-18); il savait donc très bien que B.______ était à la recherche de faux papiers pour fuir le Qatar et que C.______ était en mesure de les lui procurer et/ou les fabriquer. A.______ a également admis avoir suspecté que B.______ était directement impliqué non seulement dans les attentats de Riyad du 12 mai 2003, mais aussi dans celui d'octobre 2000 contre le navire de la marine américaine « USS Cole » au Yémen (BK act. 1.14, p. 18 ; BK act. 1.13, audience de confron- tation A.______/C.______ du 21.10.2004, p. 2-3, 4-5, 9, 11). Or, selon diverses sources officielles et confidentielles, et selon ses pro- pres déclarations recueillies lors de l’exécution d’une première commission rogatoire au Yémen, B.______ a fait partie de l’organisation F.______, pro- che de Al Qaida, et a fréquenté le camp d’al Farooq en Afghanistan, où étaient entraînés les futurs membres de Al Qaida et où il a été en contact avec bon nombre de membres opérationnels de cette organisation. Il a été un proche de E.______, donné comme le représentant de Al Qaida au Yé- men, tous deux ayant notamment eu pour tâche de procurer des passe- ports, de l’argent, des billets d’avion et des contacts à l’étranger aux agents de l’organisation (classeur 5 rubrique 5 4/4 rapport de police du 3.11.2004). Compte tenu du rôle joué par B.______ dans la mouvance islamiste radi- cale et des soupçons dont il fait l’objet s’agissant d’actes de nature terro- riste, les conversations téléphoniques des 28 avril et de début mai 2003, de même que les 48 SMS échangés avec le recourant entre le 28 avril et le 24 mai 2003, revêtent une importance capitale et justifient l’attention qui leur est consacrée par les enquêteurs. Vu le contexte particulier de l’affaire, les présomptions de culpabilité doivent, contrairement à ce qu’affirme l’inculpé, être qualifiées de sérieuses à ce stade de l’instruction préparatoire, qui n’est pas terminée.</w:t>
      </w:r>
    </w:p>
    <w:p>
      <w:r>
        <w:rPr>
          <w:b/>
        </w:rPr>
        <w:t>E. 3</w:t>
      </w:r>
    </w:p>
    <w:p>
      <w:r>
        <w:t>Le recourant conteste le risque de collusion. Il estime avoir activement col- laboré avec les enquêteurs en s’exprimant largement sur les faits ayant jus- tifié son inculpation et sa détention préventive. Ses déclarations ne seraient d’ailleurs pas significativement contredites par les autres inculpés ou par des faits révélés par la procédure.</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des preuves, ou qu’il prenne contact avec des témoins ou d’autres préve- nus pour tenter d’influencer leurs déclarations. On ne saurait toutefois se contenter d’un risque de collusion abstrait, car ce risque est inhérent à</w:t>
      </w:r>
    </w:p>
    <w:p>
      <w:r>
        <w:t>- 6 -</w:t>
      </w:r>
    </w:p>
    <w:p>
      <w:r>
        <w:t>toute procédure pénale en cours et doit, pour permettre à lui seul le main- tien en détention préventive présenter une certaine vraisemblance (arrêt du Tribunal fédéral 1S.3/2004 du 13 août 2004 consid. 4). L’autorité doit ainsi indiquer, dans les grandes lignes et sous réserve des opérations à conser- ver secrètes, quels actes d’instruction elle doit encore effectuer, et en quoi la libération du prévenu en compromettrait l’accomplissement (ATF 123 I 31 consid. 2b; 116 Ia 149 consid. 5).</w:t>
      </w:r>
    </w:p>
    <w:p>
      <w:r>
        <w:rPr>
          <w:b/>
        </w:rPr>
        <w:t>E. 3.2</w:t>
      </w:r>
    </w:p>
    <w:p>
      <w:r>
        <w:t>Une vingtaine de personnes ont été interpellées le 8 janvier 2004, dont plu- sieurs ont été placées en détention préventive. D’autres l’ont été au cours des mois suivants. Près de 14'000 pièces ont été saisies lors des perquisi- tions, la plupart d’entre elles étant rédigées en arabe (cf. arrêt BK_H 201/04 du 1er décembre 2004, consid. 3.2). Le MPC a dû faire face à un travail d’analyse et de police scientifique considérable, avec l’aide de tra- ducteurs. Les nombreux rapports établis par la PJF témoignent de l’intensité du travail accompli et de la célérité avec laquelle l’enquête a été menée. Comme les autres personnes impliquées, le recourant a été enten- du à de multiples reprises, que ce soit par la PJF, le MPC ou le JIF. Les questions qui lui ont été posées et ses réponses ont été minutieusement consignées dans ses procès-verbaux d’interrogatoire. Souvent contre l’évidence, l’inculpé a constamment nié les charges pesant contre lui, qu’il s’agisse de la tentative de mettre à disposition de faux documents officiels par l’intermédiaire de C.______, ou encore de ses entretiens avec B.______ et de sa connaissance de l’appartenance de ce dernier à la mou- vance islamiste radicale. Ce n’est qu’au compte-gouttes et après avoir été mis devant les éléments recueillis à son encontre (enregistrements de conversations téléphoniques et des SMS, confrontations avec d’autres in- culpés) qu’il a admis une partie des charges retenues contre lui, tout en les minimisant. Le recourant ne saurait donc se plaindre de ce que l’enquête ne se déroule pas avec la célérité qu’il souhaiterait. Ainsi que l'a relevé le JIF, des audiences de confrontation doivent encore avoir lieu (une première avec C.______ s’est tenue le 21 octobre 2004). Des commissions rogatoi- res ont été adressées tout récemment aux autorités yéménites ou sont sur le point de l’être, aux fins notamment de procéder à un nouvel interroga- toire de B.______. L’inculpé pourrait user de ses contacts au Yémen pour entrer en contact avec B.______ et tenter d’influencer ses déclarations. Il importe dès lors de le maintenir en détention préventive. Une première commission rogatoire émanant des autorités suisses a pu être exécutée dans ce pays. Il est donc loisible d’imaginer que les suivantes recevront el- les aussi un accueil favorable de la part des autorités yéménites, et cela dans un délai raisonnable.</w:t>
      </w:r>
    </w:p>
    <w:p>
      <w:r>
        <w:t>- 7 -</w:t>
      </w:r>
    </w:p>
    <w:p>
      <w:r>
        <w:rPr>
          <w:b/>
        </w:rPr>
        <w:t>E. 4</w:t>
      </w:r>
    </w:p>
    <w:p>
      <w:r>
        <w:t>L’inculpé nie toute velléité de prendre la fuite. Sa femme et ses enfants ha- bitent en Suisse et – en cas de mise en liberté – il aimerait bien rentrer à son domicile de Z.______; il n’a ni parents ni connaissances dans les au- tres pays européens. Le recourant tendrait par ailleurs d’autant moins à rentrer dans son pays qu’il pourrait y être victime d’exactions, l’existence de l’enquête suisse ayant été divulguée par les médias yéménites (BK act. 1, p. 11). Confronté ces dernières semaines de manière plus précise aux éléments qui l’accusent, le recourant pourrait néanmoins être tenté de quitter la Suis- se et mettre à profit ses contacts ici ou à l’étranger pour se réfugier dans un autre pays. Sa famille est, certes, un élément stabilisateur mais cet aspect à lui seul ne saurait conduire à nier le risque de fuite d’un individu dont les contacts sont apparemment nombreux dans divers pays du Proche et du Moyen-Orient (BK act. 1.8, rapport Fedpol du 19.4.2004, p. 6-10). De plus, les commissions rogatoires adressées aux autorités judiciaires des autres pays dans lesquels est actif le réseau dont le recourant est présumé faire partie (Yémen) pourraient lui faire d’autant plus craindre la remise d’informations compromettantes aux enquêteurs et, partant, une lourde peine, et l’inciter à se soustraire à l’action de la justice en se réfugiant dans un pays tiers.</w:t>
      </w:r>
    </w:p>
    <w:p>
      <w:r>
        <w:rPr>
          <w:b/>
        </w:rPr>
        <w:t>E. 5</w:t>
      </w:r>
    </w:p>
    <w:p>
      <w:r>
        <w:t>Le recourant se plaint en dernier lieu du fait que la longue détention pré- ventive (onze mois) viole le principe de la proportionnalité (BK act. 1, p. 12). Il sied toutefois de relever que les investigations ont été conduites sans désemparer depuis l’ouverture de l’enquête préliminaire et, plus parti- culièrement, depuis les interpellations et perquisitions du 8 janvier 2004. Compte tenu de la gravité des faits, du nombre de personnes impliquées, des quantités considérables de documents et objets saisis, du caractère in- ternational de l’enquête et de l’attitude observée par le recourant depuis son arrestation, une détention préventive de onze mois n’est pas contraire au principe de la proportionnalité (cf. BK_H 201/04, consid. 5).</w:t>
      </w:r>
    </w:p>
    <w:p>
      <w:r>
        <w:rPr>
          <w:b/>
        </w:rPr>
        <w:t>E. 6</w:t>
      </w:r>
    </w:p>
    <w:p>
      <w:r>
        <w:t>Mal fondé pour l’ensemble des motifs énumérés ci-dessus, le recours doit être rejeté. En application de l’art. 245 PPF et faute de disposition contraire de la loi, les frais et dépens se déterminent selon les art. 146 à 161 de la loi d’organisation judiciaire du 16 décembre 1943 (OJ; RS 173.110).</w:t>
      </w:r>
    </w:p>
    <w:p>
      <w:r>
        <w:rPr>
          <w:b/>
        </w:rPr>
        <w:t>E. 6.1</w:t>
      </w:r>
    </w:p>
    <w:p>
      <w:r>
        <w:t>Le recourant demande l'assistance judiciaire. L’art. 152 al. 1 OJ permet au tribunal (en l’occurrence la Cour des plaintes) de dispenser, sur demande,</w:t>
      </w:r>
    </w:p>
    <w:p>
      <w:r>
        <w:t>- 8 -</w:t>
      </w:r>
    </w:p>
    <w:p>
      <w:r>
        <w:t>la partie qui est dans le besoin et dont les conclusions ne paraissent pas vouées à l’échec de payer les frais judiciaires. En l'espèce, le recourant a certes rempli un formulaire de demande d'assistance judiciaire, mais n'a fourni aucun chiffre, indiquant seulement "hospice général" sous les diffé- rentes rubriques. Il n'a par ailleurs fourni aucune pièce justificative y rela- tive. La demande est donc incomplète; conformément à l'avertissement fi- gurant dans le formulaire de demande d'assistance judiciaire, elle ne peut être prise en considération. Il n'est donc pas entré en matière sur ce point.</w:t>
      </w:r>
    </w:p>
    <w:p>
      <w:r>
        <w:rPr>
          <w:b/>
        </w:rPr>
        <w:t>E. 6.2</w:t>
      </w:r>
    </w:p>
    <w:p>
      <w:r>
        <w:t>L'assistance judiciaire n'étant pas octroyée en l'espèce, les frais de la pro- cédure seront mis à la charge de la partie qui succombe (art. 156 al. 1 OJ). En application de l’art. 3 du Règlement du 11 février 2004 fixant les émo- luments judiciaires perçus par le Tribunal pénal fédéral, entré en force le 1er avril 2004 (RS 173.711.32), l’émolument sera fixé à Fr. 1'000.--.</w:t>
      </w:r>
    </w:p>
    <w:p>
      <w:r>
        <w:rPr>
          <w:b/>
        </w:rPr>
        <w:t>E. 6.3</w:t>
      </w:r>
    </w:p>
    <w:p>
      <w:r>
        <w:t>Un avocat d’office a été désigné à l’inculpé le 14 janvier 2004 en la per- sonne de Me André Vogelsang à W.______ « en application des art. 36ss PPF » (BK act. 1.2). A teneur de l’art. 38 al. 2 PPF, la Caisse fédérale prend en charge l’indemnité du défenseur désigné d’office à l'inculpé seu- lement lorsque celui-ci est indigent. L'assistance judiciaire n'est en l'espèce pas octroyée mais il appartient néanmoins au tribunal de fixer l’indemnité du défenseur désigné d’office (art. 38 al. 1 PPF). L’art. 3 du Règlement du</w:t>
      </w:r>
    </w:p>
    <w:p>
      <w:r>
        <w:rPr>
          <w:b/>
        </w:rPr>
        <w:t>E. 11</w:t>
      </w:r>
    </w:p>
    <w:p>
      <w:r>
        <w:t>février 2004 sur les dépens et indemnités alloués devant le Tribunal pé- nal fédéral, entré en vigueur le 1er avril 2004 (RS 173.711.31) prévoit que les honoraires des avocats sont fixés en fonction du temps consacré à la cause et nécessaire à la défense de la partie représentée. Le tarif horaire, qui s’applique également aux mandataires d’office (art. 3 al. 2), est de Fr. 200.- au minimum et de Fr. 300.- au maximum. Le 9 décembre 2004, l’avocat a fait parvenir à la Cour des plaintes un mémoire d’honoraires, où il expose une note forfaitaire de Fr. 1'500.--. Compte tenu de la nature de l’affaire et de l’activité déployée par le défenseur dans le cadre de la procé- dure inhérente au recours, cette indemnité, TVA incluse, paraît justifiée.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